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0CC6" w14:textId="03E283D4" w:rsidR="001E38EF" w:rsidRDefault="001E38EF" w:rsidP="00CF4B85">
      <w:pPr>
        <w:jc w:val="center"/>
        <w:outlineLvl w:val="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SOP </w:t>
      </w:r>
      <w:r w:rsidR="00CF4B85">
        <w:rPr>
          <w:rFonts w:ascii="Times New Roman" w:hAnsi="Times New Roman"/>
          <w:b/>
          <w:sz w:val="32"/>
          <w:szCs w:val="32"/>
          <w:u w:val="single"/>
        </w:rPr>
        <w:t>4: Offboarding</w:t>
      </w:r>
    </w:p>
    <w:p w14:paraId="46294647" w14:textId="77777777" w:rsidR="00CF4B85" w:rsidRPr="00CF4B85" w:rsidRDefault="00CF4B85" w:rsidP="00CF4B85">
      <w:pPr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4AAEFCAD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SOP 4: Offboarding</w:t>
      </w:r>
    </w:p>
    <w:p w14:paraId="1603BB93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</w:p>
    <w:p w14:paraId="36205E14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SOP 4.1 – Offboarding Process</w:t>
      </w:r>
    </w:p>
    <w:p w14:paraId="3075AB1B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</w:p>
    <w:p w14:paraId="12C5E7F4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Purpose</w:t>
      </w:r>
    </w:p>
    <w:p w14:paraId="70F7DC59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</w:p>
    <w:p w14:paraId="4D604871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To ensure </w:t>
      </w:r>
      <w:proofErr w:type="gramStart"/>
      <w:r w:rsidRPr="00464B39">
        <w:rPr>
          <w:rFonts w:ascii="Times New Roman" w:hAnsi="Times New Roman"/>
          <w:sz w:val="24"/>
        </w:rPr>
        <w:t>a consistent</w:t>
      </w:r>
      <w:proofErr w:type="gramEnd"/>
      <w:r w:rsidRPr="00464B39">
        <w:rPr>
          <w:rFonts w:ascii="Times New Roman" w:hAnsi="Times New Roman"/>
          <w:sz w:val="24"/>
        </w:rPr>
        <w:t xml:space="preserve">, </w:t>
      </w:r>
      <w:proofErr w:type="gramStart"/>
      <w:r w:rsidRPr="00464B39">
        <w:rPr>
          <w:rFonts w:ascii="Times New Roman" w:hAnsi="Times New Roman"/>
          <w:sz w:val="24"/>
        </w:rPr>
        <w:t>compliant</w:t>
      </w:r>
      <w:proofErr w:type="gramEnd"/>
      <w:r w:rsidRPr="00464B39">
        <w:rPr>
          <w:rFonts w:ascii="Times New Roman" w:hAnsi="Times New Roman"/>
          <w:sz w:val="24"/>
        </w:rPr>
        <w:t xml:space="preserve">, and professional offboarding </w:t>
      </w:r>
      <w:proofErr w:type="gramStart"/>
      <w:r w:rsidRPr="00464B39">
        <w:rPr>
          <w:rFonts w:ascii="Times New Roman" w:hAnsi="Times New Roman"/>
          <w:sz w:val="24"/>
        </w:rPr>
        <w:t>experience that</w:t>
      </w:r>
      <w:proofErr w:type="gramEnd"/>
      <w:r w:rsidRPr="00464B39">
        <w:rPr>
          <w:rFonts w:ascii="Times New Roman" w:hAnsi="Times New Roman"/>
          <w:sz w:val="24"/>
        </w:rPr>
        <w:t xml:space="preserve"> protects E.C. Fennell’s interests and confirms proper separation documentation and return of company property.</w:t>
      </w:r>
    </w:p>
    <w:p w14:paraId="2E08CFC4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</w:p>
    <w:p w14:paraId="01C7F7DD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Scope</w:t>
      </w:r>
    </w:p>
    <w:p w14:paraId="6F7C8078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This SOP applies to all voluntary and involuntary separations at E.C. Fennell, Inc., including resignations, retirements, and terminations.</w:t>
      </w:r>
    </w:p>
    <w:p w14:paraId="16597BBA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27AA98AA">
          <v:rect id="_x0000_i1117" style="width:0;height:1.5pt" o:hralign="center" o:hrstd="t" o:hr="t" fillcolor="#a0a0a0" stroked="f"/>
        </w:pict>
      </w:r>
    </w:p>
    <w:p w14:paraId="01EC49FE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4.1 – Resignation Requirements</w:t>
      </w:r>
    </w:p>
    <w:p w14:paraId="60DF4A52" w14:textId="77777777" w:rsidR="00464B39" w:rsidRPr="00464B39" w:rsidRDefault="00464B39" w:rsidP="00464B39">
      <w:pPr>
        <w:numPr>
          <w:ilvl w:val="0"/>
          <w:numId w:val="67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Employees must provide a minimum of two (2) weeks’ written notice of resignation. </w:t>
      </w:r>
    </w:p>
    <w:p w14:paraId="71331CB5" w14:textId="77777777" w:rsidR="00464B39" w:rsidRPr="00464B39" w:rsidRDefault="00464B39" w:rsidP="00464B39">
      <w:pPr>
        <w:numPr>
          <w:ilvl w:val="0"/>
          <w:numId w:val="67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Failure to provide the required notice will result in the employee being marked as “not eligible for rehire.” </w:t>
      </w:r>
    </w:p>
    <w:p w14:paraId="50E13254" w14:textId="77777777" w:rsidR="00464B39" w:rsidRPr="00464B39" w:rsidRDefault="00464B39" w:rsidP="00464B39">
      <w:pPr>
        <w:numPr>
          <w:ilvl w:val="0"/>
          <w:numId w:val="67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Resignations must be submitted in writing (email acceptable) and include a proposed final working day. </w:t>
      </w:r>
    </w:p>
    <w:p w14:paraId="6A54B3FA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56AF7DF5">
          <v:rect id="_x0000_i1118" style="width:0;height:1.5pt" o:hralign="center" o:hrstd="t" o:hr="t" fillcolor="#a0a0a0" stroked="f"/>
        </w:pict>
      </w:r>
    </w:p>
    <w:p w14:paraId="4E897A80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4.2 – Return of Company Property</w:t>
      </w:r>
    </w:p>
    <w:p w14:paraId="0B2D63EF" w14:textId="193A71CC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All company property must be returned to </w:t>
      </w:r>
      <w:r w:rsidRPr="00464B39">
        <w:rPr>
          <w:rFonts w:ascii="Times New Roman" w:hAnsi="Times New Roman"/>
          <w:sz w:val="24"/>
        </w:rPr>
        <w:t>the employee’s manager</w:t>
      </w:r>
      <w:r w:rsidRPr="00464B39">
        <w:rPr>
          <w:rFonts w:ascii="Times New Roman" w:hAnsi="Times New Roman"/>
          <w:sz w:val="24"/>
        </w:rPr>
        <w:t xml:space="preserve"> no later than the last working day, including:</w:t>
      </w:r>
    </w:p>
    <w:p w14:paraId="675F7CB9" w14:textId="77777777" w:rsidR="00464B39" w:rsidRPr="00464B39" w:rsidRDefault="00464B39" w:rsidP="00464B39">
      <w:pPr>
        <w:numPr>
          <w:ilvl w:val="0"/>
          <w:numId w:val="68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Laptop, charger, phone, access cards, name tag, tools, office and/or desk keys, PPE, etc. </w:t>
      </w:r>
    </w:p>
    <w:p w14:paraId="5540A830" w14:textId="77777777" w:rsidR="00464B39" w:rsidRPr="00464B39" w:rsidRDefault="00464B39" w:rsidP="00464B39">
      <w:pPr>
        <w:numPr>
          <w:ilvl w:val="0"/>
          <w:numId w:val="68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Company-owned files, digital data, and client records. </w:t>
      </w:r>
    </w:p>
    <w:p w14:paraId="2C811141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Failure to return property may result in deductions or legal recovery actions as permitted by law.</w:t>
      </w:r>
    </w:p>
    <w:p w14:paraId="35F3EF93" w14:textId="0E060B7E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Inspection of company workstation for damages. Monitors and docking stations may remain at the workstation.</w:t>
      </w:r>
    </w:p>
    <w:p w14:paraId="6A3A9EA9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258015CB">
          <v:rect id="_x0000_i1119" style="width:0;height:1.5pt" o:hralign="center" o:hrstd="t" o:hr="t" fillcolor="#a0a0a0" stroked="f"/>
        </w:pict>
      </w:r>
    </w:p>
    <w:p w14:paraId="65E5A570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4.3 – Final Pay and Benefits</w:t>
      </w:r>
    </w:p>
    <w:p w14:paraId="3608B70B" w14:textId="77777777" w:rsidR="00464B39" w:rsidRPr="00464B39" w:rsidRDefault="00464B39" w:rsidP="00464B39">
      <w:pPr>
        <w:numPr>
          <w:ilvl w:val="0"/>
          <w:numId w:val="69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Final pay will be processed according to state law. HR will conduct a review to ensure there are no outstanding financial obligations (tuition reimbursement, damage to company property, etc.). </w:t>
      </w:r>
    </w:p>
    <w:p w14:paraId="0762F66B" w14:textId="77777777" w:rsidR="00464B39" w:rsidRPr="00464B39" w:rsidRDefault="00464B39" w:rsidP="00464B39">
      <w:pPr>
        <w:numPr>
          <w:ilvl w:val="0"/>
          <w:numId w:val="69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HR will ensure termination is entered in payroll and benefits systems (ADP, Vantagepoint, etc.). </w:t>
      </w:r>
    </w:p>
    <w:p w14:paraId="7A941D0A" w14:textId="77777777" w:rsidR="00464B39" w:rsidRPr="00464B39" w:rsidRDefault="00464B39" w:rsidP="00464B39">
      <w:pPr>
        <w:numPr>
          <w:ilvl w:val="0"/>
          <w:numId w:val="69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COBRA and benefits continuation information will be mailed to the employee’s address on file. </w:t>
      </w:r>
    </w:p>
    <w:p w14:paraId="1F2B155A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3DD0D4E7">
          <v:rect id="_x0000_i1120" style="width:0;height:1.5pt" o:hralign="center" o:hrstd="t" o:hr="t" fillcolor="#a0a0a0" stroked="f"/>
        </w:pict>
      </w:r>
    </w:p>
    <w:p w14:paraId="52DED5F7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4.4 – Rehire Eligibility</w:t>
      </w:r>
    </w:p>
    <w:p w14:paraId="49C34E61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An employee will be marked as eligible for rehire only if:</w:t>
      </w:r>
    </w:p>
    <w:p w14:paraId="64A2BD6C" w14:textId="77777777" w:rsidR="00464B39" w:rsidRPr="00464B39" w:rsidRDefault="00464B39" w:rsidP="00464B39">
      <w:pPr>
        <w:numPr>
          <w:ilvl w:val="0"/>
          <w:numId w:val="70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They provided the required two weeks’ notice, and </w:t>
      </w:r>
    </w:p>
    <w:p w14:paraId="5249BE70" w14:textId="77777777" w:rsidR="00464B39" w:rsidRPr="00464B39" w:rsidRDefault="00464B39" w:rsidP="00464B39">
      <w:pPr>
        <w:numPr>
          <w:ilvl w:val="0"/>
          <w:numId w:val="70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Returned all company property in good condition. </w:t>
      </w:r>
    </w:p>
    <w:p w14:paraId="721B9F3C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All others will be coded as “Do Not Rehire (DNR)” in the HRIS.</w:t>
      </w:r>
    </w:p>
    <w:p w14:paraId="28B8A4C1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0F8478B0">
          <v:rect id="_x0000_i1121" style="width:0;height:1.5pt" o:hralign="center" o:hrstd="t" o:hr="t" fillcolor="#a0a0a0" stroked="f"/>
        </w:pict>
      </w:r>
    </w:p>
    <w:p w14:paraId="4E953F94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4.5 – Documentation and Recordkeeping</w:t>
      </w:r>
    </w:p>
    <w:p w14:paraId="4EB4E4D6" w14:textId="77777777" w:rsidR="00464B39" w:rsidRPr="00464B39" w:rsidRDefault="00464B39" w:rsidP="00464B39">
      <w:pPr>
        <w:numPr>
          <w:ilvl w:val="0"/>
          <w:numId w:val="71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HR will file the resignation notice and return-of-property checklist in the personnel file. </w:t>
      </w:r>
    </w:p>
    <w:p w14:paraId="0CBBB7F1" w14:textId="77777777" w:rsidR="00464B39" w:rsidRPr="00464B39" w:rsidRDefault="00464B39" w:rsidP="00464B39">
      <w:pPr>
        <w:numPr>
          <w:ilvl w:val="0"/>
          <w:numId w:val="71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 xml:space="preserve">Separation data will be reviewed quarterly to identify turnover trends and departmental issues. </w:t>
      </w:r>
    </w:p>
    <w:p w14:paraId="188C55FF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pict w14:anchorId="6816B873">
          <v:rect id="_x0000_i1122" style="width:0;height:1.5pt" o:hralign="center" o:hrstd="t" o:hr="t" fillcolor="#a0a0a0" stroked="f"/>
        </w:pict>
      </w:r>
    </w:p>
    <w:p w14:paraId="5ACBC903" w14:textId="77777777" w:rsidR="00464B39" w:rsidRPr="00464B39" w:rsidRDefault="00464B39" w:rsidP="00464B39">
      <w:p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4.6 – HRIS and Notifications</w:t>
      </w:r>
    </w:p>
    <w:p w14:paraId="56EB6CD4" w14:textId="77777777" w:rsidR="00464B39" w:rsidRPr="00464B39" w:rsidRDefault="00464B39" w:rsidP="00464B39">
      <w:pPr>
        <w:numPr>
          <w:ilvl w:val="0"/>
          <w:numId w:val="72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lastRenderedPageBreak/>
        <w:t xml:space="preserve">HR will update all HRIS systems (ADP and Vantage Point) to reflect the employee’s terminated status within 2 business days of the employee’s last working day. </w:t>
      </w:r>
    </w:p>
    <w:p w14:paraId="20BADAB5" w14:textId="77777777" w:rsidR="00464B39" w:rsidRPr="00464B39" w:rsidRDefault="00464B39" w:rsidP="00464B39">
      <w:pPr>
        <w:numPr>
          <w:ilvl w:val="0"/>
          <w:numId w:val="72"/>
        </w:numPr>
        <w:outlineLvl w:val="0"/>
        <w:rPr>
          <w:rFonts w:ascii="Times New Roman" w:hAnsi="Times New Roman"/>
          <w:sz w:val="24"/>
        </w:rPr>
      </w:pPr>
      <w:r w:rsidRPr="00464B39">
        <w:rPr>
          <w:rFonts w:ascii="Times New Roman" w:hAnsi="Times New Roman"/>
          <w:sz w:val="24"/>
        </w:rPr>
        <w:t>HR will send an email to the insurance brokerage (USI), IT company (C3), and Payroll/Accounting to inform all parties of the employee’s termination.</w:t>
      </w:r>
    </w:p>
    <w:p w14:paraId="38AA9384" w14:textId="77777777" w:rsidR="00CF4B85" w:rsidRPr="001E38EF" w:rsidRDefault="00CF4B85" w:rsidP="00464B39">
      <w:pPr>
        <w:outlineLvl w:val="0"/>
        <w:rPr>
          <w:rFonts w:ascii="Times New Roman" w:hAnsi="Times New Roman"/>
          <w:szCs w:val="16"/>
        </w:rPr>
      </w:pPr>
    </w:p>
    <w:sectPr w:rsidR="00CF4B85" w:rsidRPr="001E38EF" w:rsidSect="00AF716B">
      <w:headerReference w:type="default" r:id="rId11"/>
      <w:type w:val="continuous"/>
      <w:pgSz w:w="12240" w:h="15840"/>
      <w:pgMar w:top="432" w:right="720" w:bottom="720" w:left="720" w:header="720" w:footer="720" w:gutter="0"/>
      <w:pgBorders w:offsetFrom="page">
        <w:top w:val="single" w:sz="4" w:space="24" w:color="FFD966" w:themeColor="accent4" w:themeTint="99"/>
        <w:left w:val="single" w:sz="4" w:space="24" w:color="FFD966" w:themeColor="accent4" w:themeTint="99"/>
        <w:bottom w:val="single" w:sz="4" w:space="24" w:color="FFD966" w:themeColor="accent4" w:themeTint="99"/>
        <w:right w:val="single" w:sz="4" w:space="24" w:color="FFD966" w:themeColor="accent4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1747" w14:textId="77777777" w:rsidR="00836153" w:rsidRDefault="00836153" w:rsidP="00AF716B">
      <w:r>
        <w:separator/>
      </w:r>
    </w:p>
  </w:endnote>
  <w:endnote w:type="continuationSeparator" w:id="0">
    <w:p w14:paraId="5082F50D" w14:textId="77777777" w:rsidR="00836153" w:rsidRDefault="00836153" w:rsidP="00AF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311C" w14:textId="77777777" w:rsidR="00836153" w:rsidRDefault="00836153" w:rsidP="00AF716B">
      <w:r>
        <w:separator/>
      </w:r>
    </w:p>
  </w:footnote>
  <w:footnote w:type="continuationSeparator" w:id="0">
    <w:p w14:paraId="04BAAE1C" w14:textId="77777777" w:rsidR="00836153" w:rsidRDefault="00836153" w:rsidP="00AF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E468" w14:textId="60613478" w:rsidR="00AF716B" w:rsidRDefault="00AF716B">
    <w:pPr>
      <w:pStyle w:val="Header"/>
    </w:pPr>
    <w:r>
      <w:rPr>
        <w:noProof/>
      </w:rPr>
      <w:drawing>
        <wp:inline distT="0" distB="0" distL="0" distR="0" wp14:anchorId="1778AA59" wp14:editId="7B9B1356">
          <wp:extent cx="1303584" cy="762000"/>
          <wp:effectExtent l="0" t="0" r="0" b="0"/>
          <wp:docPr id="1539106426" name="Picture 1" descr="Top Florida Engineering Firm | ECF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Florida Engineering Firm | ECF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263" cy="772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73731" w14:textId="77777777" w:rsidR="00AF716B" w:rsidRDefault="00AF7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851"/>
    <w:multiLevelType w:val="multilevel"/>
    <w:tmpl w:val="ECE0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B65591"/>
    <w:multiLevelType w:val="multilevel"/>
    <w:tmpl w:val="E66E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F53456"/>
    <w:multiLevelType w:val="multilevel"/>
    <w:tmpl w:val="F058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3274F1"/>
    <w:multiLevelType w:val="multilevel"/>
    <w:tmpl w:val="480E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866203"/>
    <w:multiLevelType w:val="multilevel"/>
    <w:tmpl w:val="BF2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4B145E"/>
    <w:multiLevelType w:val="multilevel"/>
    <w:tmpl w:val="1ABE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182716"/>
    <w:multiLevelType w:val="multilevel"/>
    <w:tmpl w:val="843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2B4312"/>
    <w:multiLevelType w:val="multilevel"/>
    <w:tmpl w:val="BB7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3B33A3"/>
    <w:multiLevelType w:val="multilevel"/>
    <w:tmpl w:val="6D2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D75A35"/>
    <w:multiLevelType w:val="multilevel"/>
    <w:tmpl w:val="FDDE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03177A"/>
    <w:multiLevelType w:val="hybridMultilevel"/>
    <w:tmpl w:val="9278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512C81"/>
    <w:multiLevelType w:val="multilevel"/>
    <w:tmpl w:val="1496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45321A"/>
    <w:multiLevelType w:val="multilevel"/>
    <w:tmpl w:val="9EFA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F46F24"/>
    <w:multiLevelType w:val="multilevel"/>
    <w:tmpl w:val="295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E4581B"/>
    <w:multiLevelType w:val="multilevel"/>
    <w:tmpl w:val="AFC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5E6DE7"/>
    <w:multiLevelType w:val="multilevel"/>
    <w:tmpl w:val="0070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8481646"/>
    <w:multiLevelType w:val="hybridMultilevel"/>
    <w:tmpl w:val="C414CFBA"/>
    <w:lvl w:ilvl="0" w:tplc="E9A4E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6521E2"/>
    <w:multiLevelType w:val="multilevel"/>
    <w:tmpl w:val="1FDA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BE2046"/>
    <w:multiLevelType w:val="multilevel"/>
    <w:tmpl w:val="CFAC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FB5781"/>
    <w:multiLevelType w:val="hybridMultilevel"/>
    <w:tmpl w:val="61BAAA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E71A2"/>
    <w:multiLevelType w:val="multilevel"/>
    <w:tmpl w:val="510A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425DBE"/>
    <w:multiLevelType w:val="multilevel"/>
    <w:tmpl w:val="03F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335975"/>
    <w:multiLevelType w:val="multilevel"/>
    <w:tmpl w:val="3926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C52EA7"/>
    <w:multiLevelType w:val="multilevel"/>
    <w:tmpl w:val="0B38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4424EE"/>
    <w:multiLevelType w:val="multilevel"/>
    <w:tmpl w:val="F05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201FDF"/>
    <w:multiLevelType w:val="multilevel"/>
    <w:tmpl w:val="EBE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D969AE"/>
    <w:multiLevelType w:val="multilevel"/>
    <w:tmpl w:val="31A6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08745D"/>
    <w:multiLevelType w:val="multilevel"/>
    <w:tmpl w:val="A87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327F3"/>
    <w:multiLevelType w:val="multilevel"/>
    <w:tmpl w:val="A59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C32144"/>
    <w:multiLevelType w:val="multilevel"/>
    <w:tmpl w:val="B38C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ED4C1D"/>
    <w:multiLevelType w:val="multilevel"/>
    <w:tmpl w:val="759C3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D9015B"/>
    <w:multiLevelType w:val="multilevel"/>
    <w:tmpl w:val="4846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9066FE"/>
    <w:multiLevelType w:val="multilevel"/>
    <w:tmpl w:val="D204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646410"/>
    <w:multiLevelType w:val="multilevel"/>
    <w:tmpl w:val="299A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321F4A"/>
    <w:multiLevelType w:val="multilevel"/>
    <w:tmpl w:val="1B10B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A710D1"/>
    <w:multiLevelType w:val="multilevel"/>
    <w:tmpl w:val="C3D8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7F6158"/>
    <w:multiLevelType w:val="multilevel"/>
    <w:tmpl w:val="500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07339B"/>
    <w:multiLevelType w:val="multilevel"/>
    <w:tmpl w:val="0F48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CD5BFB"/>
    <w:multiLevelType w:val="multilevel"/>
    <w:tmpl w:val="E6DE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401E29"/>
    <w:multiLevelType w:val="multilevel"/>
    <w:tmpl w:val="925C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1F0128A"/>
    <w:multiLevelType w:val="multilevel"/>
    <w:tmpl w:val="F1FA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1A2D20"/>
    <w:multiLevelType w:val="multilevel"/>
    <w:tmpl w:val="E34A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5633B2"/>
    <w:multiLevelType w:val="multilevel"/>
    <w:tmpl w:val="BF66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78D476F"/>
    <w:multiLevelType w:val="multilevel"/>
    <w:tmpl w:val="469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E04B31"/>
    <w:multiLevelType w:val="multilevel"/>
    <w:tmpl w:val="D67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0B0C5C"/>
    <w:multiLevelType w:val="multilevel"/>
    <w:tmpl w:val="A8B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940323"/>
    <w:multiLevelType w:val="multilevel"/>
    <w:tmpl w:val="150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B2657DE"/>
    <w:multiLevelType w:val="multilevel"/>
    <w:tmpl w:val="2B42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DE63C1"/>
    <w:multiLevelType w:val="multilevel"/>
    <w:tmpl w:val="529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477B62"/>
    <w:multiLevelType w:val="multilevel"/>
    <w:tmpl w:val="4468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AF4D6F"/>
    <w:multiLevelType w:val="multilevel"/>
    <w:tmpl w:val="BD84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1309E0"/>
    <w:multiLevelType w:val="multilevel"/>
    <w:tmpl w:val="FAD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396655"/>
    <w:multiLevelType w:val="multilevel"/>
    <w:tmpl w:val="502A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E31EBD"/>
    <w:multiLevelType w:val="multilevel"/>
    <w:tmpl w:val="EFDC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F11AFA"/>
    <w:multiLevelType w:val="multilevel"/>
    <w:tmpl w:val="2812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106085">
    <w:abstractNumId w:val="9"/>
  </w:num>
  <w:num w:numId="2" w16cid:durableId="47265616">
    <w:abstractNumId w:val="8"/>
  </w:num>
  <w:num w:numId="3" w16cid:durableId="1120998632">
    <w:abstractNumId w:val="7"/>
  </w:num>
  <w:num w:numId="4" w16cid:durableId="1903711399">
    <w:abstractNumId w:val="6"/>
  </w:num>
  <w:num w:numId="5" w16cid:durableId="1385059624">
    <w:abstractNumId w:val="5"/>
  </w:num>
  <w:num w:numId="6" w16cid:durableId="2139834834">
    <w:abstractNumId w:val="4"/>
  </w:num>
  <w:num w:numId="7" w16cid:durableId="1735545508">
    <w:abstractNumId w:val="3"/>
  </w:num>
  <w:num w:numId="8" w16cid:durableId="998846011">
    <w:abstractNumId w:val="2"/>
  </w:num>
  <w:num w:numId="9" w16cid:durableId="1614094805">
    <w:abstractNumId w:val="1"/>
  </w:num>
  <w:num w:numId="10" w16cid:durableId="1527864800">
    <w:abstractNumId w:val="0"/>
  </w:num>
  <w:num w:numId="11" w16cid:durableId="1250965610">
    <w:abstractNumId w:val="46"/>
  </w:num>
  <w:num w:numId="12" w16cid:durableId="959649852">
    <w:abstractNumId w:val="67"/>
  </w:num>
  <w:num w:numId="13" w16cid:durableId="328365154">
    <w:abstractNumId w:val="66"/>
  </w:num>
  <w:num w:numId="14" w16cid:durableId="1526942610">
    <w:abstractNumId w:val="39"/>
  </w:num>
  <w:num w:numId="15" w16cid:durableId="157310550">
    <w:abstractNumId w:val="22"/>
  </w:num>
  <w:num w:numId="16" w16cid:durableId="1934505210">
    <w:abstractNumId w:val="45"/>
  </w:num>
  <w:num w:numId="17" w16cid:durableId="906846371">
    <w:abstractNumId w:val="49"/>
  </w:num>
  <w:num w:numId="18" w16cid:durableId="16591006">
    <w:abstractNumId w:val="13"/>
  </w:num>
  <w:num w:numId="19" w16cid:durableId="1939370293">
    <w:abstractNumId w:val="54"/>
  </w:num>
  <w:num w:numId="20" w16cid:durableId="1682976898">
    <w:abstractNumId w:val="30"/>
  </w:num>
  <w:num w:numId="21" w16cid:durableId="1431582546">
    <w:abstractNumId w:val="27"/>
  </w:num>
  <w:num w:numId="22" w16cid:durableId="651836840">
    <w:abstractNumId w:val="43"/>
  </w:num>
  <w:num w:numId="23" w16cid:durableId="1373964218">
    <w:abstractNumId w:val="20"/>
  </w:num>
  <w:num w:numId="24" w16cid:durableId="569073398">
    <w:abstractNumId w:val="15"/>
  </w:num>
  <w:num w:numId="25" w16cid:durableId="1694576503">
    <w:abstractNumId w:val="42"/>
  </w:num>
  <w:num w:numId="26" w16cid:durableId="856961872">
    <w:abstractNumId w:val="53"/>
  </w:num>
  <w:num w:numId="27" w16cid:durableId="1342657272">
    <w:abstractNumId w:val="40"/>
  </w:num>
  <w:num w:numId="28" w16cid:durableId="1674212814">
    <w:abstractNumId w:val="44"/>
  </w:num>
  <w:num w:numId="29" w16cid:durableId="950478524">
    <w:abstractNumId w:val="36"/>
  </w:num>
  <w:num w:numId="30" w16cid:durableId="1719159401">
    <w:abstractNumId w:val="25"/>
  </w:num>
  <w:num w:numId="31" w16cid:durableId="215316021">
    <w:abstractNumId w:val="61"/>
  </w:num>
  <w:num w:numId="32" w16cid:durableId="965694632">
    <w:abstractNumId w:val="28"/>
  </w:num>
  <w:num w:numId="33" w16cid:durableId="822625637">
    <w:abstractNumId w:val="68"/>
  </w:num>
  <w:num w:numId="34" w16cid:durableId="1018895080">
    <w:abstractNumId w:val="70"/>
  </w:num>
  <w:num w:numId="35" w16cid:durableId="907113337">
    <w:abstractNumId w:val="57"/>
  </w:num>
  <w:num w:numId="36" w16cid:durableId="812020009">
    <w:abstractNumId w:val="37"/>
  </w:num>
  <w:num w:numId="37" w16cid:durableId="429544901">
    <w:abstractNumId w:val="14"/>
  </w:num>
  <w:num w:numId="38" w16cid:durableId="1193375684">
    <w:abstractNumId w:val="24"/>
  </w:num>
  <w:num w:numId="39" w16cid:durableId="1173177978">
    <w:abstractNumId w:val="60"/>
  </w:num>
  <w:num w:numId="40" w16cid:durableId="85464584">
    <w:abstractNumId w:val="12"/>
  </w:num>
  <w:num w:numId="41" w16cid:durableId="530655467">
    <w:abstractNumId w:val="56"/>
  </w:num>
  <w:num w:numId="42" w16cid:durableId="637689970">
    <w:abstractNumId w:val="33"/>
  </w:num>
  <w:num w:numId="43" w16cid:durableId="777217269">
    <w:abstractNumId w:val="48"/>
  </w:num>
  <w:num w:numId="44" w16cid:durableId="543754801">
    <w:abstractNumId w:val="32"/>
  </w:num>
  <w:num w:numId="45" w16cid:durableId="938374152">
    <w:abstractNumId w:val="23"/>
  </w:num>
  <w:num w:numId="46" w16cid:durableId="1832983690">
    <w:abstractNumId w:val="18"/>
  </w:num>
  <w:num w:numId="47" w16cid:durableId="1771580221">
    <w:abstractNumId w:val="11"/>
  </w:num>
  <w:num w:numId="48" w16cid:durableId="733623408">
    <w:abstractNumId w:val="51"/>
  </w:num>
  <w:num w:numId="49" w16cid:durableId="1096369247">
    <w:abstractNumId w:val="63"/>
  </w:num>
  <w:num w:numId="50" w16cid:durableId="927663004">
    <w:abstractNumId w:val="35"/>
  </w:num>
  <w:num w:numId="51" w16cid:durableId="1008599059">
    <w:abstractNumId w:val="34"/>
  </w:num>
  <w:num w:numId="52" w16cid:durableId="1936136482">
    <w:abstractNumId w:val="29"/>
  </w:num>
  <w:num w:numId="53" w16cid:durableId="214439434">
    <w:abstractNumId w:val="65"/>
  </w:num>
  <w:num w:numId="54" w16cid:durableId="1852526168">
    <w:abstractNumId w:val="31"/>
  </w:num>
  <w:num w:numId="55" w16cid:durableId="303050351">
    <w:abstractNumId w:val="47"/>
  </w:num>
  <w:num w:numId="56" w16cid:durableId="1642035102">
    <w:abstractNumId w:val="19"/>
  </w:num>
  <w:num w:numId="57" w16cid:durableId="1678850550">
    <w:abstractNumId w:val="41"/>
  </w:num>
  <w:num w:numId="58" w16cid:durableId="88355538">
    <w:abstractNumId w:val="50"/>
  </w:num>
  <w:num w:numId="59" w16cid:durableId="1670674577">
    <w:abstractNumId w:val="52"/>
  </w:num>
  <w:num w:numId="60" w16cid:durableId="10843877">
    <w:abstractNumId w:val="21"/>
  </w:num>
  <w:num w:numId="61" w16cid:durableId="1762019142">
    <w:abstractNumId w:val="55"/>
  </w:num>
  <w:num w:numId="62" w16cid:durableId="1889220531">
    <w:abstractNumId w:val="17"/>
  </w:num>
  <w:num w:numId="63" w16cid:durableId="1154637863">
    <w:abstractNumId w:val="16"/>
  </w:num>
  <w:num w:numId="64" w16cid:durableId="649679665">
    <w:abstractNumId w:val="69"/>
  </w:num>
  <w:num w:numId="65" w16cid:durableId="709571743">
    <w:abstractNumId w:val="38"/>
  </w:num>
  <w:num w:numId="66" w16cid:durableId="203324110">
    <w:abstractNumId w:val="10"/>
  </w:num>
  <w:num w:numId="67" w16cid:durableId="392848863">
    <w:abstractNumId w:val="58"/>
  </w:num>
  <w:num w:numId="68" w16cid:durableId="945380374">
    <w:abstractNumId w:val="59"/>
  </w:num>
  <w:num w:numId="69" w16cid:durableId="643126520">
    <w:abstractNumId w:val="71"/>
  </w:num>
  <w:num w:numId="70" w16cid:durableId="291638665">
    <w:abstractNumId w:val="64"/>
  </w:num>
  <w:num w:numId="71" w16cid:durableId="1296761165">
    <w:abstractNumId w:val="62"/>
  </w:num>
  <w:num w:numId="72" w16cid:durableId="964852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embedSystemFonts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1"/>
    <w:rsid w:val="000129B5"/>
    <w:rsid w:val="00031AF7"/>
    <w:rsid w:val="00047DA5"/>
    <w:rsid w:val="00052207"/>
    <w:rsid w:val="00084FCA"/>
    <w:rsid w:val="000864F7"/>
    <w:rsid w:val="000B3AA5"/>
    <w:rsid w:val="000D5F7F"/>
    <w:rsid w:val="000E101B"/>
    <w:rsid w:val="000E7AF5"/>
    <w:rsid w:val="00111C4F"/>
    <w:rsid w:val="001124AD"/>
    <w:rsid w:val="00121D51"/>
    <w:rsid w:val="001327BD"/>
    <w:rsid w:val="001472A1"/>
    <w:rsid w:val="001962A6"/>
    <w:rsid w:val="001B144A"/>
    <w:rsid w:val="001D2A78"/>
    <w:rsid w:val="001E38EF"/>
    <w:rsid w:val="002323DC"/>
    <w:rsid w:val="002507EE"/>
    <w:rsid w:val="002539C4"/>
    <w:rsid w:val="00274139"/>
    <w:rsid w:val="002A40EF"/>
    <w:rsid w:val="002A45FC"/>
    <w:rsid w:val="002E4407"/>
    <w:rsid w:val="002E4E24"/>
    <w:rsid w:val="002F2C0D"/>
    <w:rsid w:val="002F39CD"/>
    <w:rsid w:val="003013EA"/>
    <w:rsid w:val="00303C60"/>
    <w:rsid w:val="0036595F"/>
    <w:rsid w:val="003758D7"/>
    <w:rsid w:val="00394B8A"/>
    <w:rsid w:val="003A72F3"/>
    <w:rsid w:val="003D28EE"/>
    <w:rsid w:val="003F787D"/>
    <w:rsid w:val="003F7F18"/>
    <w:rsid w:val="004151A5"/>
    <w:rsid w:val="00422668"/>
    <w:rsid w:val="0045552B"/>
    <w:rsid w:val="00464032"/>
    <w:rsid w:val="00464B39"/>
    <w:rsid w:val="00482909"/>
    <w:rsid w:val="00492BF1"/>
    <w:rsid w:val="00493BCE"/>
    <w:rsid w:val="004952F9"/>
    <w:rsid w:val="004B4C32"/>
    <w:rsid w:val="004D59AF"/>
    <w:rsid w:val="004E7C78"/>
    <w:rsid w:val="005029EB"/>
    <w:rsid w:val="005136D6"/>
    <w:rsid w:val="00514793"/>
    <w:rsid w:val="005274E0"/>
    <w:rsid w:val="00531F82"/>
    <w:rsid w:val="00547183"/>
    <w:rsid w:val="0055049D"/>
    <w:rsid w:val="00557C38"/>
    <w:rsid w:val="005708C4"/>
    <w:rsid w:val="0057164B"/>
    <w:rsid w:val="00576FF6"/>
    <w:rsid w:val="005A2BD6"/>
    <w:rsid w:val="005B7C30"/>
    <w:rsid w:val="005C1013"/>
    <w:rsid w:val="005F5ABE"/>
    <w:rsid w:val="00607BA5"/>
    <w:rsid w:val="006520CD"/>
    <w:rsid w:val="00662CC1"/>
    <w:rsid w:val="00686A63"/>
    <w:rsid w:val="006940E6"/>
    <w:rsid w:val="006B5ECE"/>
    <w:rsid w:val="006B6267"/>
    <w:rsid w:val="006B7A5D"/>
    <w:rsid w:val="006C1052"/>
    <w:rsid w:val="006C66DE"/>
    <w:rsid w:val="006D6888"/>
    <w:rsid w:val="00714325"/>
    <w:rsid w:val="00756B3B"/>
    <w:rsid w:val="00774101"/>
    <w:rsid w:val="00776E40"/>
    <w:rsid w:val="0078197E"/>
    <w:rsid w:val="007841B8"/>
    <w:rsid w:val="00784C8D"/>
    <w:rsid w:val="007F08AA"/>
    <w:rsid w:val="007F3CD8"/>
    <w:rsid w:val="00803745"/>
    <w:rsid w:val="0081690B"/>
    <w:rsid w:val="008350B3"/>
    <w:rsid w:val="00836153"/>
    <w:rsid w:val="0084768E"/>
    <w:rsid w:val="00857FF1"/>
    <w:rsid w:val="00863730"/>
    <w:rsid w:val="008C1C7F"/>
    <w:rsid w:val="008F0F82"/>
    <w:rsid w:val="008F76AE"/>
    <w:rsid w:val="008F77C7"/>
    <w:rsid w:val="009152A8"/>
    <w:rsid w:val="00942BD8"/>
    <w:rsid w:val="0094457A"/>
    <w:rsid w:val="009557DC"/>
    <w:rsid w:val="009665FF"/>
    <w:rsid w:val="009A226F"/>
    <w:rsid w:val="009C2E35"/>
    <w:rsid w:val="009C4A98"/>
    <w:rsid w:val="009C6682"/>
    <w:rsid w:val="009E31FD"/>
    <w:rsid w:val="009E71D3"/>
    <w:rsid w:val="00A063B2"/>
    <w:rsid w:val="00A06691"/>
    <w:rsid w:val="00A12C16"/>
    <w:rsid w:val="00A2037C"/>
    <w:rsid w:val="00A6738D"/>
    <w:rsid w:val="00A95122"/>
    <w:rsid w:val="00A95536"/>
    <w:rsid w:val="00AA2FD0"/>
    <w:rsid w:val="00AB1F2A"/>
    <w:rsid w:val="00AB48BA"/>
    <w:rsid w:val="00AC1DD6"/>
    <w:rsid w:val="00AD1758"/>
    <w:rsid w:val="00AD1BA1"/>
    <w:rsid w:val="00AE1A89"/>
    <w:rsid w:val="00AF1796"/>
    <w:rsid w:val="00AF716B"/>
    <w:rsid w:val="00B8500C"/>
    <w:rsid w:val="00BC38F6"/>
    <w:rsid w:val="00BC7F9D"/>
    <w:rsid w:val="00C10F5E"/>
    <w:rsid w:val="00C12C0B"/>
    <w:rsid w:val="00C24013"/>
    <w:rsid w:val="00C81350"/>
    <w:rsid w:val="00CA2CD6"/>
    <w:rsid w:val="00CB171B"/>
    <w:rsid w:val="00CB4DF0"/>
    <w:rsid w:val="00CB7FA5"/>
    <w:rsid w:val="00CD3282"/>
    <w:rsid w:val="00CD6C0E"/>
    <w:rsid w:val="00CF4B85"/>
    <w:rsid w:val="00D022DF"/>
    <w:rsid w:val="00D03959"/>
    <w:rsid w:val="00D2644E"/>
    <w:rsid w:val="00D26580"/>
    <w:rsid w:val="00D26C97"/>
    <w:rsid w:val="00D54E3E"/>
    <w:rsid w:val="00D660EC"/>
    <w:rsid w:val="00D675F4"/>
    <w:rsid w:val="00D80FA9"/>
    <w:rsid w:val="00D82ADF"/>
    <w:rsid w:val="00D8378B"/>
    <w:rsid w:val="00D90B36"/>
    <w:rsid w:val="00DB1AE1"/>
    <w:rsid w:val="00DF7FC9"/>
    <w:rsid w:val="00E01DEB"/>
    <w:rsid w:val="00E05DEB"/>
    <w:rsid w:val="00E24345"/>
    <w:rsid w:val="00E62BF6"/>
    <w:rsid w:val="00E8348B"/>
    <w:rsid w:val="00E85804"/>
    <w:rsid w:val="00EA4335"/>
    <w:rsid w:val="00EB23F8"/>
    <w:rsid w:val="00EC4EDF"/>
    <w:rsid w:val="00EC73C7"/>
    <w:rsid w:val="00EF273D"/>
    <w:rsid w:val="00EF43A9"/>
    <w:rsid w:val="00F226B1"/>
    <w:rsid w:val="00F4523A"/>
    <w:rsid w:val="00F46DDD"/>
    <w:rsid w:val="00F602DC"/>
    <w:rsid w:val="00F85E87"/>
    <w:rsid w:val="00F90516"/>
    <w:rsid w:val="00FB4C7E"/>
    <w:rsid w:val="00FC567B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B4780"/>
  <w15:docId w15:val="{5D3E151E-2D6B-454B-B6C4-5EB0D81D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7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16B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AF7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716B"/>
    <w:rPr>
      <w:rFonts w:asciiTheme="minorHAnsi" w:hAnsiTheme="minorHAnsi"/>
      <w:sz w:val="16"/>
      <w:szCs w:val="24"/>
    </w:rPr>
  </w:style>
  <w:style w:type="character" w:styleId="Strong">
    <w:name w:val="Strong"/>
    <w:basedOn w:val="DefaultParagraphFont"/>
    <w:uiPriority w:val="22"/>
    <w:qFormat/>
    <w:rsid w:val="0068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26D1BFCA-03D7-C644-B76A-785CCE95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Jill Knoepfel</dc:creator>
  <cp:lastModifiedBy>Mylz Wicker</cp:lastModifiedBy>
  <cp:revision>2</cp:revision>
  <cp:lastPrinted>2018-04-15T17:50:00Z</cp:lastPrinted>
  <dcterms:created xsi:type="dcterms:W3CDTF">2026-05-08T18:38:00Z</dcterms:created>
  <dcterms:modified xsi:type="dcterms:W3CDTF">2026-05-08T18:38:00Z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